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eastAsia="zh-CN"/>
        </w:rPr>
      </w:pPr>
      <w:r>
        <w:rPr>
          <w:rFonts w:hint="eastAsia"/>
          <w:b/>
          <w:bCs/>
          <w:sz w:val="36"/>
          <w:szCs w:val="36"/>
          <w:lang w:eastAsia="zh-CN"/>
        </w:rPr>
        <w:t>关于建筑业企业资质延续有关事项的通知</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市住建局、各县（市）区、园区住建局、各建筑业企业、各相关单位：</w:t>
      </w:r>
    </w:p>
    <w:p>
      <w:pPr>
        <w:ind w:firstLine="640"/>
        <w:rPr>
          <w:rFonts w:hint="eastAsia" w:ascii="仿宋" w:hAnsi="仿宋" w:eastAsia="仿宋" w:cs="仿宋"/>
          <w:i w:val="0"/>
          <w:caps w:val="0"/>
          <w:color w:val="000000"/>
          <w:spacing w:val="0"/>
          <w:sz w:val="32"/>
          <w:szCs w:val="32"/>
          <w:shd w:val="clear" w:fill="FFFFFF"/>
        </w:rPr>
      </w:pPr>
      <w:r>
        <w:rPr>
          <w:rFonts w:ascii="仿宋" w:hAnsi="仿宋" w:eastAsia="仿宋" w:cs="仿宋"/>
          <w:i w:val="0"/>
          <w:caps w:val="0"/>
          <w:color w:val="000000"/>
          <w:spacing w:val="0"/>
          <w:sz w:val="32"/>
          <w:szCs w:val="32"/>
          <w:shd w:val="clear" w:fill="FFFFFF"/>
        </w:rPr>
        <w:t>按照《住房和城乡建设部办公厅关于建设工程企业资质有关事宜的通知》（建办市函〔</w:t>
      </w:r>
      <w:r>
        <w:rPr>
          <w:rFonts w:hint="eastAsia" w:ascii="仿宋" w:hAnsi="仿宋" w:eastAsia="仿宋" w:cs="仿宋"/>
          <w:i w:val="0"/>
          <w:caps w:val="0"/>
          <w:color w:val="000000"/>
          <w:spacing w:val="0"/>
          <w:sz w:val="32"/>
          <w:szCs w:val="32"/>
          <w:shd w:val="clear" w:fill="FFFFFF"/>
        </w:rPr>
        <w:t>2022〕361号）</w:t>
      </w:r>
      <w:r>
        <w:rPr>
          <w:rFonts w:hint="eastAsia" w:ascii="仿宋" w:hAnsi="仿宋" w:eastAsia="仿宋" w:cs="仿宋"/>
          <w:i w:val="0"/>
          <w:caps w:val="0"/>
          <w:color w:val="000000"/>
          <w:spacing w:val="0"/>
          <w:sz w:val="32"/>
          <w:szCs w:val="32"/>
          <w:shd w:val="clear" w:fill="FFFFFF"/>
          <w:lang w:eastAsia="zh-CN"/>
        </w:rPr>
        <w:t>和《辽宁省住房和城乡建设厅关于建设工程企业资质延续有关事项的通知》</w:t>
      </w:r>
      <w:r>
        <w:rPr>
          <w:rFonts w:hint="eastAsia" w:ascii="仿宋" w:hAnsi="仿宋" w:eastAsia="仿宋" w:cs="仿宋"/>
          <w:i w:val="0"/>
          <w:caps w:val="0"/>
          <w:color w:val="000000"/>
          <w:spacing w:val="0"/>
          <w:sz w:val="32"/>
          <w:szCs w:val="32"/>
          <w:shd w:val="clear" w:fill="FFFFFF"/>
        </w:rPr>
        <w:t>相关要求，</w:t>
      </w:r>
      <w:r>
        <w:rPr>
          <w:rFonts w:hint="eastAsia" w:ascii="仿宋" w:hAnsi="仿宋" w:eastAsia="仿宋" w:cs="仿宋"/>
          <w:i w:val="0"/>
          <w:caps w:val="0"/>
          <w:color w:val="000000"/>
          <w:spacing w:val="0"/>
          <w:sz w:val="32"/>
          <w:szCs w:val="32"/>
          <w:shd w:val="clear" w:fill="FFFFFF"/>
          <w:lang w:eastAsia="zh-CN"/>
        </w:rPr>
        <w:t>结合实际工作，</w:t>
      </w:r>
      <w:r>
        <w:rPr>
          <w:rFonts w:hint="eastAsia" w:ascii="仿宋" w:hAnsi="仿宋" w:eastAsia="仿宋" w:cs="仿宋"/>
          <w:i w:val="0"/>
          <w:caps w:val="0"/>
          <w:color w:val="000000"/>
          <w:spacing w:val="0"/>
          <w:sz w:val="32"/>
          <w:szCs w:val="32"/>
          <w:shd w:val="clear" w:fill="FFFFFF"/>
        </w:rPr>
        <w:t>现将</w:t>
      </w:r>
      <w:r>
        <w:rPr>
          <w:rFonts w:hint="eastAsia" w:ascii="仿宋" w:hAnsi="仿宋" w:eastAsia="仿宋" w:cs="仿宋"/>
          <w:i w:val="0"/>
          <w:caps w:val="0"/>
          <w:color w:val="000000"/>
          <w:spacing w:val="0"/>
          <w:sz w:val="32"/>
          <w:szCs w:val="32"/>
          <w:shd w:val="clear" w:fill="FFFFFF"/>
          <w:lang w:eastAsia="zh-CN"/>
        </w:rPr>
        <w:t>营口地区由营口市行政审批局核发的</w:t>
      </w:r>
      <w:r>
        <w:rPr>
          <w:rFonts w:hint="eastAsia" w:ascii="仿宋" w:hAnsi="仿宋" w:eastAsia="仿宋" w:cs="仿宋"/>
          <w:i w:val="0"/>
          <w:caps w:val="0"/>
          <w:color w:val="000000"/>
          <w:spacing w:val="0"/>
          <w:sz w:val="32"/>
          <w:szCs w:val="32"/>
          <w:shd w:val="clear" w:fill="FFFFFF"/>
        </w:rPr>
        <w:t>建筑业企业资质</w:t>
      </w:r>
      <w:r>
        <w:rPr>
          <w:rFonts w:hint="eastAsia" w:ascii="仿宋" w:hAnsi="仿宋" w:eastAsia="仿宋" w:cs="仿宋"/>
          <w:i w:val="0"/>
          <w:caps w:val="0"/>
          <w:color w:val="000000"/>
          <w:spacing w:val="0"/>
          <w:sz w:val="32"/>
          <w:szCs w:val="32"/>
          <w:shd w:val="clear" w:fill="FFFFFF"/>
          <w:lang w:eastAsia="zh-CN"/>
        </w:rPr>
        <w:t>延续</w:t>
      </w:r>
      <w:r>
        <w:rPr>
          <w:rFonts w:hint="eastAsia" w:ascii="仿宋" w:hAnsi="仿宋" w:eastAsia="仿宋" w:cs="仿宋"/>
          <w:i w:val="0"/>
          <w:caps w:val="0"/>
          <w:color w:val="000000"/>
          <w:spacing w:val="0"/>
          <w:sz w:val="32"/>
          <w:szCs w:val="32"/>
          <w:shd w:val="clear" w:fill="FFFFFF"/>
        </w:rPr>
        <w:t>有关事宜通知如下：</w:t>
      </w:r>
    </w:p>
    <w:p>
      <w:pPr>
        <w:ind w:firstLine="640"/>
        <w:rPr>
          <w:rFonts w:hint="eastAsia" w:ascii="仿宋" w:hAnsi="仿宋" w:eastAsia="仿宋" w:cs="仿宋"/>
          <w:i w:val="0"/>
          <w:caps w:val="0"/>
          <w:color w:val="000000"/>
          <w:spacing w:val="0"/>
          <w:sz w:val="32"/>
          <w:szCs w:val="32"/>
          <w:shd w:val="clear" w:fill="FFFFFF"/>
          <w:lang w:eastAsia="zh-CN"/>
        </w:rPr>
      </w:pPr>
      <w:r>
        <w:rPr>
          <w:rFonts w:hint="eastAsia" w:ascii="仿宋" w:hAnsi="仿宋" w:eastAsia="仿宋" w:cs="仿宋"/>
          <w:i w:val="0"/>
          <w:caps w:val="0"/>
          <w:color w:val="000000"/>
          <w:spacing w:val="0"/>
          <w:sz w:val="32"/>
          <w:szCs w:val="32"/>
          <w:shd w:val="clear" w:fill="FFFFFF"/>
          <w:lang w:val="en-US" w:eastAsia="zh-CN"/>
        </w:rPr>
        <w:t>一、</w:t>
      </w:r>
      <w:r>
        <w:rPr>
          <w:rFonts w:hint="eastAsia" w:ascii="仿宋" w:hAnsi="仿宋" w:eastAsia="仿宋" w:cs="仿宋"/>
          <w:i w:val="0"/>
          <w:caps w:val="0"/>
          <w:color w:val="000000"/>
          <w:spacing w:val="0"/>
          <w:sz w:val="32"/>
          <w:szCs w:val="32"/>
          <w:shd w:val="clear" w:fill="FFFFFF"/>
          <w:lang w:eastAsia="zh-CN"/>
        </w:rPr>
        <w:t>由营口市行政审批局核发的</w:t>
      </w:r>
      <w:r>
        <w:rPr>
          <w:rFonts w:hint="eastAsia" w:ascii="仿宋" w:hAnsi="仿宋" w:eastAsia="仿宋" w:cs="仿宋"/>
          <w:i w:val="0"/>
          <w:caps w:val="0"/>
          <w:color w:val="000000"/>
          <w:spacing w:val="0"/>
          <w:sz w:val="32"/>
          <w:szCs w:val="32"/>
          <w:shd w:val="clear" w:fill="FFFFFF"/>
        </w:rPr>
        <w:t>建筑业企业资质有效期于2023年12月30日前期满的，统一延期至2023年12月31日。上述资质有效期将在全国建筑市场监管公共服务平台自动延期，企业无需换领资质证书，原资质证书仍可用于工程招标投标等活动</w:t>
      </w:r>
      <w:r>
        <w:rPr>
          <w:rFonts w:hint="eastAsia" w:ascii="仿宋" w:hAnsi="仿宋" w:eastAsia="仿宋" w:cs="仿宋"/>
          <w:i w:val="0"/>
          <w:caps w:val="0"/>
          <w:color w:val="000000"/>
          <w:spacing w:val="0"/>
          <w:sz w:val="32"/>
          <w:szCs w:val="32"/>
          <w:shd w:val="clear" w:fill="FFFFFF"/>
          <w:lang w:eastAsia="zh-CN"/>
        </w:rPr>
        <w:t>。</w:t>
      </w:r>
    </w:p>
    <w:p>
      <w:pPr>
        <w:ind w:firstLine="640"/>
        <w:rPr>
          <w:rFonts w:hint="eastAsia" w:ascii="仿宋" w:hAnsi="仿宋" w:eastAsia="仿宋" w:cs="仿宋"/>
          <w:i w:val="0"/>
          <w:caps w:val="0"/>
          <w:color w:val="000000"/>
          <w:spacing w:val="0"/>
          <w:sz w:val="32"/>
          <w:szCs w:val="32"/>
          <w:shd w:val="clear" w:fill="FFFFFF"/>
          <w:lang w:eastAsia="zh-CN"/>
        </w:rPr>
      </w:pPr>
      <w:r>
        <w:rPr>
          <w:rFonts w:hint="eastAsia" w:ascii="仿宋" w:hAnsi="仿宋" w:eastAsia="仿宋" w:cs="仿宋"/>
          <w:i w:val="0"/>
          <w:caps w:val="0"/>
          <w:color w:val="000000"/>
          <w:spacing w:val="0"/>
          <w:sz w:val="32"/>
          <w:szCs w:val="32"/>
          <w:shd w:val="clear" w:fill="FFFFFF"/>
          <w:lang w:eastAsia="zh-CN"/>
        </w:rPr>
        <w:t>二、企业通过合并、跨省变更事项取得有效期1年资质证书的，不适用上款规定，企业应在1年资质证书有效期届满前，按相关规定申请重新核定。</w:t>
      </w:r>
    </w:p>
    <w:p>
      <w:pPr>
        <w:ind w:firstLine="640"/>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eastAsia="zh-CN"/>
        </w:rPr>
        <w:t>三、鉴于全国建筑市场监管公共服务平台不显示施工劳务资质信息，资质证书只有一项劳务资质的企业信息不能在全国建筑市场监管公共服务平台中查询，资质证书有效期于</w:t>
      </w:r>
      <w:r>
        <w:rPr>
          <w:rFonts w:hint="eastAsia" w:ascii="仿宋" w:hAnsi="仿宋" w:eastAsia="仿宋" w:cs="仿宋"/>
          <w:i w:val="0"/>
          <w:caps w:val="0"/>
          <w:color w:val="000000"/>
          <w:spacing w:val="0"/>
          <w:sz w:val="32"/>
          <w:szCs w:val="32"/>
          <w:shd w:val="clear" w:fill="FFFFFF"/>
          <w:lang w:val="en-US" w:eastAsia="zh-CN"/>
        </w:rPr>
        <w:t>2022年12月31日至2023年12月31日届满的，该类企业若有需要，可持原资质证书到原资质审批部门换发有效期延至2023年12月31日的新资质证书。</w:t>
      </w:r>
    </w:p>
    <w:p>
      <w:pPr>
        <w:ind w:firstLine="640"/>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特此通知。</w:t>
      </w:r>
    </w:p>
    <w:p>
      <w:pPr>
        <w:ind w:left="2230" w:leftChars="608" w:hanging="953" w:hangingChars="298"/>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lang w:val="en-US" w:eastAsia="zh-CN"/>
        </w:rPr>
        <w:t>附件：1.</w:t>
      </w:r>
      <w:r>
        <w:rPr>
          <w:rFonts w:ascii="仿宋" w:hAnsi="仿宋" w:eastAsia="仿宋" w:cs="仿宋"/>
          <w:i w:val="0"/>
          <w:caps w:val="0"/>
          <w:color w:val="000000"/>
          <w:spacing w:val="0"/>
          <w:sz w:val="32"/>
          <w:szCs w:val="32"/>
          <w:shd w:val="clear" w:fill="FFFFFF"/>
        </w:rPr>
        <w:t>《住房和城乡建设部办公厅关于建设工程企业资质有关事宜的通知》（建办市函〔</w:t>
      </w:r>
      <w:r>
        <w:rPr>
          <w:rFonts w:hint="eastAsia" w:ascii="仿宋" w:hAnsi="仿宋" w:eastAsia="仿宋" w:cs="仿宋"/>
          <w:i w:val="0"/>
          <w:caps w:val="0"/>
          <w:color w:val="000000"/>
          <w:spacing w:val="0"/>
          <w:sz w:val="32"/>
          <w:szCs w:val="32"/>
          <w:shd w:val="clear" w:fill="FFFFFF"/>
        </w:rPr>
        <w:t>2022〕361号）</w:t>
      </w:r>
    </w:p>
    <w:p>
      <w:pPr>
        <w:ind w:left="2230" w:leftChars="608" w:hanging="953" w:hangingChars="298"/>
        <w:rPr>
          <w:rFonts w:hint="default"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 xml:space="preserve">      2.</w:t>
      </w:r>
      <w:r>
        <w:rPr>
          <w:rFonts w:hint="eastAsia" w:ascii="仿宋" w:hAnsi="仿宋" w:eastAsia="仿宋" w:cs="仿宋"/>
          <w:i w:val="0"/>
          <w:caps w:val="0"/>
          <w:color w:val="000000"/>
          <w:spacing w:val="0"/>
          <w:sz w:val="32"/>
          <w:szCs w:val="32"/>
          <w:shd w:val="clear" w:fill="FFFFFF"/>
          <w:lang w:eastAsia="zh-CN"/>
        </w:rPr>
        <w:t>《辽宁省住房和城乡建设厅关于建设工程企业资质延续有关事项的通知》</w:t>
      </w:r>
    </w:p>
    <w:p>
      <w:pPr>
        <w:ind w:left="2230" w:leftChars="608" w:hanging="953" w:hangingChars="298"/>
        <w:rPr>
          <w:rFonts w:hint="eastAsia" w:ascii="仿宋" w:hAnsi="仿宋" w:eastAsia="仿宋" w:cs="仿宋"/>
          <w:i w:val="0"/>
          <w:caps w:val="0"/>
          <w:color w:val="000000"/>
          <w:spacing w:val="0"/>
          <w:sz w:val="32"/>
          <w:szCs w:val="32"/>
          <w:shd w:val="clear" w:fill="FFFFFF"/>
        </w:rPr>
      </w:pPr>
    </w:p>
    <w:p>
      <w:pPr>
        <w:ind w:left="2230" w:leftChars="608" w:hanging="953" w:hangingChars="298"/>
        <w:rPr>
          <w:rFonts w:hint="eastAsia" w:ascii="仿宋" w:hAnsi="仿宋" w:eastAsia="仿宋" w:cs="仿宋"/>
          <w:i w:val="0"/>
          <w:caps w:val="0"/>
          <w:color w:val="000000"/>
          <w:spacing w:val="0"/>
          <w:sz w:val="32"/>
          <w:szCs w:val="32"/>
          <w:shd w:val="clear" w:fill="FFFFFF"/>
        </w:rPr>
      </w:pPr>
    </w:p>
    <w:p>
      <w:pPr>
        <w:ind w:left="2230" w:leftChars="608" w:hanging="953" w:hangingChars="298"/>
        <w:rPr>
          <w:rFonts w:hint="eastAsia" w:ascii="仿宋" w:hAnsi="仿宋" w:eastAsia="仿宋" w:cs="仿宋"/>
          <w:i w:val="0"/>
          <w:caps w:val="0"/>
          <w:color w:val="000000"/>
          <w:spacing w:val="0"/>
          <w:sz w:val="32"/>
          <w:szCs w:val="32"/>
          <w:shd w:val="clear" w:fill="FFFFFF"/>
        </w:rPr>
      </w:pPr>
    </w:p>
    <w:p>
      <w:pPr>
        <w:ind w:left="2230" w:leftChars="608" w:hanging="953" w:hangingChars="298"/>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 xml:space="preserve">                  营口市营商环境建设局</w:t>
      </w:r>
    </w:p>
    <w:p>
      <w:pPr>
        <w:ind w:left="2230" w:leftChars="608" w:hanging="953" w:hangingChars="298"/>
        <w:rPr>
          <w:rFonts w:hint="default"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 xml:space="preserve">                     2022年12月28</w:t>
      </w:r>
      <w:bookmarkStart w:id="0" w:name="_GoBack"/>
      <w:bookmarkEnd w:id="0"/>
      <w:r>
        <w:rPr>
          <w:rFonts w:hint="eastAsia" w:ascii="仿宋" w:hAnsi="仿宋" w:eastAsia="仿宋" w:cs="仿宋"/>
          <w:i w:val="0"/>
          <w:caps w:val="0"/>
          <w:color w:val="000000"/>
          <w:spacing w:val="0"/>
          <w:sz w:val="32"/>
          <w:szCs w:val="32"/>
          <w:shd w:val="clear" w:fill="FFFFFF"/>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82FF6"/>
    <w:rsid w:val="100C4870"/>
    <w:rsid w:val="2D8D34A8"/>
    <w:rsid w:val="48782FF6"/>
    <w:rsid w:val="72F80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2022-12-20T01:29:00Z</dcterms:created>
  <dc:creator>Administrator</dc:creator>
  <cp:lastModifiedBy>Administrator</cp:lastModifiedBy>
  <dcterms:modified xsi:type="dcterms:W3CDTF">2022-12-29T05:04:52Z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